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F62" w:rsidRPr="00DD2F62" w:rsidRDefault="00DD2F62" w:rsidP="00DD2F62">
      <w:pPr>
        <w:spacing w:line="480" w:lineRule="auto"/>
        <w:rPr>
          <w:rFonts w:ascii="Times New Roman" w:hAnsi="Times New Roman" w:cs="Times New Roman"/>
          <w:sz w:val="24"/>
          <w:szCs w:val="24"/>
        </w:rPr>
      </w:pPr>
    </w:p>
    <w:p w:rsidR="00DD2F62" w:rsidRPr="00DD2F62" w:rsidRDefault="00DD2F62" w:rsidP="00DD2F62">
      <w:pPr>
        <w:spacing w:line="480" w:lineRule="auto"/>
        <w:rPr>
          <w:rFonts w:ascii="Times New Roman" w:hAnsi="Times New Roman" w:cs="Times New Roman"/>
          <w:sz w:val="24"/>
          <w:szCs w:val="24"/>
        </w:rPr>
      </w:pPr>
    </w:p>
    <w:p w:rsidR="00DD2F62" w:rsidRPr="00DD2F62" w:rsidRDefault="00DD2F62" w:rsidP="00DD2F62">
      <w:pPr>
        <w:spacing w:line="480" w:lineRule="auto"/>
        <w:rPr>
          <w:rFonts w:ascii="Times New Roman" w:hAnsi="Times New Roman" w:cs="Times New Roman"/>
          <w:sz w:val="24"/>
          <w:szCs w:val="24"/>
        </w:rPr>
      </w:pPr>
    </w:p>
    <w:p w:rsidR="00DD2F62" w:rsidRPr="00DD2F62" w:rsidRDefault="00DD2F62" w:rsidP="00DD2F62">
      <w:pPr>
        <w:spacing w:line="480" w:lineRule="auto"/>
        <w:rPr>
          <w:rFonts w:ascii="Times New Roman" w:hAnsi="Times New Roman" w:cs="Times New Roman"/>
          <w:sz w:val="24"/>
          <w:szCs w:val="24"/>
        </w:rPr>
      </w:pPr>
    </w:p>
    <w:p w:rsidR="00DD2F62" w:rsidRPr="00DD2F62" w:rsidRDefault="00DD2F62" w:rsidP="00DD2F62">
      <w:pPr>
        <w:spacing w:line="480" w:lineRule="auto"/>
        <w:jc w:val="center"/>
        <w:rPr>
          <w:rFonts w:ascii="Times New Roman" w:hAnsi="Times New Roman" w:cs="Times New Roman"/>
          <w:b/>
          <w:sz w:val="24"/>
          <w:szCs w:val="24"/>
        </w:rPr>
      </w:pPr>
    </w:p>
    <w:p w:rsidR="00DD2F62" w:rsidRPr="00DD2F62" w:rsidRDefault="00DD2F62" w:rsidP="00DD2F62">
      <w:pPr>
        <w:spacing w:line="480" w:lineRule="auto"/>
        <w:jc w:val="center"/>
        <w:rPr>
          <w:rFonts w:ascii="Times New Roman" w:hAnsi="Times New Roman" w:cs="Times New Roman"/>
          <w:b/>
          <w:sz w:val="24"/>
          <w:szCs w:val="24"/>
        </w:rPr>
      </w:pPr>
      <w:r w:rsidRPr="00DD2F62">
        <w:rPr>
          <w:rFonts w:ascii="Times New Roman" w:hAnsi="Times New Roman" w:cs="Times New Roman"/>
          <w:b/>
          <w:sz w:val="24"/>
          <w:szCs w:val="24"/>
        </w:rPr>
        <w:t>Ypsilanti Twp. v. Gen. Motors Corp</w:t>
      </w:r>
    </w:p>
    <w:p w:rsidR="00DD2F62" w:rsidRPr="00DD2F62" w:rsidRDefault="00DD2F62" w:rsidP="00DD2F62">
      <w:pPr>
        <w:spacing w:line="480" w:lineRule="auto"/>
        <w:jc w:val="center"/>
        <w:rPr>
          <w:rFonts w:ascii="Times New Roman" w:hAnsi="Times New Roman" w:cs="Times New Roman"/>
          <w:sz w:val="24"/>
          <w:szCs w:val="24"/>
        </w:rPr>
      </w:pPr>
      <w:r w:rsidRPr="00DD2F62">
        <w:rPr>
          <w:rFonts w:ascii="Times New Roman" w:hAnsi="Times New Roman" w:cs="Times New Roman"/>
          <w:sz w:val="24"/>
          <w:szCs w:val="24"/>
        </w:rPr>
        <w:t>Name</w:t>
      </w:r>
    </w:p>
    <w:p w:rsidR="00DD2F62" w:rsidRPr="00DD2F62" w:rsidRDefault="00DD2F62" w:rsidP="00DD2F62">
      <w:pPr>
        <w:spacing w:line="480" w:lineRule="auto"/>
        <w:jc w:val="center"/>
        <w:rPr>
          <w:rFonts w:ascii="Times New Roman" w:hAnsi="Times New Roman" w:cs="Times New Roman"/>
          <w:sz w:val="24"/>
          <w:szCs w:val="24"/>
        </w:rPr>
      </w:pPr>
      <w:r w:rsidRPr="00DD2F62">
        <w:rPr>
          <w:rFonts w:ascii="Times New Roman" w:hAnsi="Times New Roman" w:cs="Times New Roman"/>
          <w:sz w:val="24"/>
          <w:szCs w:val="24"/>
        </w:rPr>
        <w:t>Institution</w:t>
      </w:r>
    </w:p>
    <w:p w:rsidR="00DD2F62" w:rsidRPr="00DD2F62" w:rsidRDefault="00DD2F62" w:rsidP="00DD2F62">
      <w:pPr>
        <w:spacing w:line="480" w:lineRule="auto"/>
        <w:jc w:val="center"/>
        <w:rPr>
          <w:rFonts w:ascii="Times New Roman" w:hAnsi="Times New Roman" w:cs="Times New Roman"/>
          <w:sz w:val="24"/>
          <w:szCs w:val="24"/>
        </w:rPr>
      </w:pPr>
      <w:r w:rsidRPr="00DD2F62">
        <w:rPr>
          <w:rFonts w:ascii="Times New Roman" w:hAnsi="Times New Roman" w:cs="Times New Roman"/>
          <w:sz w:val="24"/>
          <w:szCs w:val="24"/>
        </w:rPr>
        <w:t>Date</w:t>
      </w:r>
    </w:p>
    <w:p w:rsidR="00DD2F62" w:rsidRPr="00DD2F62" w:rsidRDefault="00DD2F62" w:rsidP="00DD2F62">
      <w:pPr>
        <w:spacing w:line="480" w:lineRule="auto"/>
        <w:jc w:val="center"/>
        <w:rPr>
          <w:rFonts w:ascii="Times New Roman" w:hAnsi="Times New Roman" w:cs="Times New Roman"/>
          <w:sz w:val="24"/>
          <w:szCs w:val="24"/>
        </w:rPr>
      </w:pPr>
    </w:p>
    <w:p w:rsidR="00DD2F62" w:rsidRPr="00DD2F62" w:rsidRDefault="00DD2F62" w:rsidP="00DD2F62">
      <w:pPr>
        <w:spacing w:line="480" w:lineRule="auto"/>
        <w:rPr>
          <w:rFonts w:ascii="Times New Roman" w:hAnsi="Times New Roman" w:cs="Times New Roman"/>
          <w:sz w:val="24"/>
          <w:szCs w:val="24"/>
        </w:rPr>
      </w:pPr>
    </w:p>
    <w:p w:rsidR="00DD2F62" w:rsidRPr="00DD2F62" w:rsidRDefault="00DD2F62" w:rsidP="00DD2F62">
      <w:pPr>
        <w:spacing w:line="480" w:lineRule="auto"/>
        <w:rPr>
          <w:rFonts w:ascii="Times New Roman" w:hAnsi="Times New Roman" w:cs="Times New Roman"/>
          <w:sz w:val="24"/>
          <w:szCs w:val="24"/>
        </w:rPr>
      </w:pPr>
    </w:p>
    <w:p w:rsidR="00DD2F62" w:rsidRPr="00DD2F62" w:rsidRDefault="00DD2F62" w:rsidP="00DD2F62">
      <w:pPr>
        <w:spacing w:line="480" w:lineRule="auto"/>
        <w:rPr>
          <w:rFonts w:ascii="Times New Roman" w:hAnsi="Times New Roman" w:cs="Times New Roman"/>
          <w:sz w:val="24"/>
          <w:szCs w:val="24"/>
        </w:rPr>
      </w:pPr>
    </w:p>
    <w:p w:rsidR="00DD2F62" w:rsidRDefault="00DD2F62" w:rsidP="00DD2F62">
      <w:pPr>
        <w:spacing w:line="480" w:lineRule="auto"/>
        <w:rPr>
          <w:rFonts w:ascii="Times New Roman" w:hAnsi="Times New Roman" w:cs="Times New Roman"/>
          <w:sz w:val="24"/>
          <w:szCs w:val="24"/>
        </w:rPr>
      </w:pPr>
    </w:p>
    <w:p w:rsidR="00DD2F62" w:rsidRDefault="00DD2F62" w:rsidP="00DD2F62">
      <w:pPr>
        <w:spacing w:line="480" w:lineRule="auto"/>
        <w:rPr>
          <w:rFonts w:ascii="Times New Roman" w:hAnsi="Times New Roman" w:cs="Times New Roman"/>
          <w:sz w:val="24"/>
          <w:szCs w:val="24"/>
        </w:rPr>
      </w:pPr>
    </w:p>
    <w:p w:rsidR="00DD2F62" w:rsidRDefault="00DD2F62" w:rsidP="00DD2F62">
      <w:pPr>
        <w:spacing w:line="480" w:lineRule="auto"/>
        <w:rPr>
          <w:rFonts w:ascii="Times New Roman" w:hAnsi="Times New Roman" w:cs="Times New Roman"/>
          <w:sz w:val="24"/>
          <w:szCs w:val="24"/>
        </w:rPr>
      </w:pPr>
    </w:p>
    <w:p w:rsidR="00DD2F62" w:rsidRDefault="00DD2F62" w:rsidP="00DD2F62">
      <w:pPr>
        <w:spacing w:line="480" w:lineRule="auto"/>
        <w:rPr>
          <w:rFonts w:ascii="Times New Roman" w:hAnsi="Times New Roman" w:cs="Times New Roman"/>
          <w:sz w:val="24"/>
          <w:szCs w:val="24"/>
        </w:rPr>
      </w:pPr>
    </w:p>
    <w:p w:rsidR="00A63D2F" w:rsidRPr="00DD2F62" w:rsidRDefault="00A63D2F" w:rsidP="00DD2F62">
      <w:pPr>
        <w:spacing w:line="480" w:lineRule="auto"/>
        <w:jc w:val="center"/>
        <w:rPr>
          <w:rFonts w:ascii="Times New Roman" w:hAnsi="Times New Roman" w:cs="Times New Roman"/>
          <w:b/>
          <w:sz w:val="24"/>
          <w:szCs w:val="24"/>
        </w:rPr>
      </w:pPr>
      <w:r w:rsidRPr="00DD2F62">
        <w:rPr>
          <w:rFonts w:ascii="Times New Roman" w:hAnsi="Times New Roman" w:cs="Times New Roman"/>
          <w:b/>
          <w:sz w:val="24"/>
          <w:szCs w:val="24"/>
        </w:rPr>
        <w:lastRenderedPageBreak/>
        <w:t>Ypsilanti Twp. v. Gen. Motors Corp</w:t>
      </w:r>
    </w:p>
    <w:p w:rsidR="00A63D2F" w:rsidRPr="00DD2F62" w:rsidRDefault="00A63D2F" w:rsidP="00DD2F62">
      <w:pPr>
        <w:spacing w:line="480" w:lineRule="auto"/>
        <w:jc w:val="center"/>
        <w:rPr>
          <w:rFonts w:ascii="Times New Roman" w:hAnsi="Times New Roman" w:cs="Times New Roman"/>
          <w:b/>
          <w:sz w:val="24"/>
          <w:szCs w:val="24"/>
        </w:rPr>
      </w:pPr>
      <w:r w:rsidRPr="00DD2F62">
        <w:rPr>
          <w:rFonts w:ascii="Times New Roman" w:hAnsi="Times New Roman" w:cs="Times New Roman"/>
          <w:b/>
          <w:sz w:val="24"/>
          <w:szCs w:val="24"/>
        </w:rPr>
        <w:t>Citation</w:t>
      </w:r>
    </w:p>
    <w:p w:rsidR="00A63D2F" w:rsidRPr="00DD2F62" w:rsidRDefault="00A63D2F" w:rsidP="00DD2F62">
      <w:pPr>
        <w:spacing w:line="480" w:lineRule="auto"/>
        <w:rPr>
          <w:rFonts w:ascii="Times New Roman" w:hAnsi="Times New Roman" w:cs="Times New Roman"/>
          <w:sz w:val="24"/>
          <w:szCs w:val="24"/>
        </w:rPr>
      </w:pPr>
      <w:r w:rsidRPr="00DD2F62">
        <w:rPr>
          <w:rFonts w:ascii="Times New Roman" w:hAnsi="Times New Roman" w:cs="Times New Roman"/>
          <w:sz w:val="24"/>
          <w:szCs w:val="24"/>
        </w:rPr>
        <w:t xml:space="preserve">Name of the case: Ypsilanti Twp. v. Gen. Motors Corp </w:t>
      </w:r>
    </w:p>
    <w:p w:rsidR="00A63D2F" w:rsidRPr="00DD2F62" w:rsidRDefault="00A63D2F" w:rsidP="00DD2F62">
      <w:pPr>
        <w:spacing w:line="480" w:lineRule="auto"/>
        <w:rPr>
          <w:rFonts w:ascii="Times New Roman" w:hAnsi="Times New Roman" w:cs="Times New Roman"/>
          <w:sz w:val="24"/>
          <w:szCs w:val="24"/>
        </w:rPr>
      </w:pPr>
      <w:r w:rsidRPr="00DD2F62">
        <w:rPr>
          <w:rFonts w:ascii="Times New Roman" w:hAnsi="Times New Roman" w:cs="Times New Roman"/>
          <w:sz w:val="24"/>
          <w:szCs w:val="24"/>
        </w:rPr>
        <w:t xml:space="preserve">The court that heard the case: Circuit Court of Michigan </w:t>
      </w:r>
    </w:p>
    <w:p w:rsidR="00A63D2F" w:rsidRPr="00DD2F62" w:rsidRDefault="00A63D2F" w:rsidP="00DD2F62">
      <w:pPr>
        <w:spacing w:line="480" w:lineRule="auto"/>
        <w:rPr>
          <w:rFonts w:ascii="Times New Roman" w:hAnsi="Times New Roman" w:cs="Times New Roman"/>
          <w:sz w:val="24"/>
          <w:szCs w:val="24"/>
        </w:rPr>
      </w:pPr>
      <w:r w:rsidRPr="00DD2F62">
        <w:rPr>
          <w:rFonts w:ascii="Times New Roman" w:hAnsi="Times New Roman" w:cs="Times New Roman"/>
          <w:sz w:val="24"/>
          <w:szCs w:val="24"/>
        </w:rPr>
        <w:t>The date when the case was decided: 3rd August 1993</w:t>
      </w:r>
    </w:p>
    <w:p w:rsidR="00A63D2F" w:rsidRPr="00DD2F62" w:rsidRDefault="00A63D2F" w:rsidP="00DD2F62">
      <w:pPr>
        <w:spacing w:line="480" w:lineRule="auto"/>
        <w:rPr>
          <w:rFonts w:ascii="Times New Roman" w:hAnsi="Times New Roman" w:cs="Times New Roman"/>
          <w:sz w:val="24"/>
          <w:szCs w:val="24"/>
        </w:rPr>
      </w:pPr>
      <w:r w:rsidRPr="00DD2F62">
        <w:rPr>
          <w:rFonts w:ascii="Times New Roman" w:hAnsi="Times New Roman" w:cs="Times New Roman"/>
          <w:sz w:val="24"/>
          <w:szCs w:val="24"/>
        </w:rPr>
        <w:t xml:space="preserve">Reporter: 506 U.S 556 (1993) </w:t>
      </w:r>
    </w:p>
    <w:p w:rsidR="00A63D2F" w:rsidRPr="00DD2F62" w:rsidRDefault="00A63D2F" w:rsidP="00DD2F62">
      <w:pPr>
        <w:spacing w:line="480" w:lineRule="auto"/>
        <w:jc w:val="center"/>
        <w:rPr>
          <w:rFonts w:ascii="Times New Roman" w:hAnsi="Times New Roman" w:cs="Times New Roman"/>
          <w:b/>
          <w:sz w:val="24"/>
          <w:szCs w:val="24"/>
        </w:rPr>
      </w:pPr>
      <w:r w:rsidRPr="00DD2F62">
        <w:rPr>
          <w:rFonts w:ascii="Times New Roman" w:hAnsi="Times New Roman" w:cs="Times New Roman"/>
          <w:b/>
          <w:sz w:val="24"/>
          <w:szCs w:val="24"/>
        </w:rPr>
        <w:t>Facts</w:t>
      </w:r>
    </w:p>
    <w:p w:rsidR="00A63D2F" w:rsidRPr="00DD2F62" w:rsidRDefault="00A63D2F" w:rsidP="00CE168E">
      <w:pPr>
        <w:spacing w:line="480" w:lineRule="auto"/>
        <w:ind w:firstLine="720"/>
        <w:rPr>
          <w:rFonts w:ascii="Times New Roman" w:hAnsi="Times New Roman" w:cs="Times New Roman"/>
          <w:sz w:val="24"/>
          <w:szCs w:val="24"/>
        </w:rPr>
      </w:pPr>
      <w:r w:rsidRPr="00DD2F62">
        <w:rPr>
          <w:rFonts w:ascii="Times New Roman" w:hAnsi="Times New Roman" w:cs="Times New Roman"/>
          <w:sz w:val="24"/>
          <w:szCs w:val="24"/>
        </w:rPr>
        <w:t>General Mot</w:t>
      </w:r>
      <w:r w:rsidR="0077197E">
        <w:rPr>
          <w:rFonts w:ascii="Times New Roman" w:hAnsi="Times New Roman" w:cs="Times New Roman"/>
          <w:sz w:val="24"/>
          <w:szCs w:val="24"/>
        </w:rPr>
        <w:t>ors Inc., the defendant in the</w:t>
      </w:r>
      <w:r w:rsidRPr="00DD2F62">
        <w:rPr>
          <w:rFonts w:ascii="Times New Roman" w:hAnsi="Times New Roman" w:cs="Times New Roman"/>
          <w:sz w:val="24"/>
          <w:szCs w:val="24"/>
        </w:rPr>
        <w:t xml:space="preserve"> case</w:t>
      </w:r>
      <w:r w:rsidR="0077197E">
        <w:rPr>
          <w:rFonts w:ascii="Times New Roman" w:hAnsi="Times New Roman" w:cs="Times New Roman"/>
          <w:sz w:val="24"/>
          <w:szCs w:val="24"/>
        </w:rPr>
        <w:t xml:space="preserve"> of </w:t>
      </w:r>
      <w:r w:rsidR="0077197E" w:rsidRPr="0077197E">
        <w:rPr>
          <w:rFonts w:ascii="Times New Roman" w:hAnsi="Times New Roman" w:cs="Times New Roman"/>
          <w:i/>
          <w:sz w:val="24"/>
          <w:szCs w:val="24"/>
        </w:rPr>
        <w:t>Ypsilanti Twp. v. Gen. Motors Corp</w:t>
      </w:r>
      <w:r w:rsidRPr="00DD2F62">
        <w:rPr>
          <w:rFonts w:ascii="Times New Roman" w:hAnsi="Times New Roman" w:cs="Times New Roman"/>
          <w:sz w:val="24"/>
          <w:szCs w:val="24"/>
        </w:rPr>
        <w:t>, ran two companies in the town of Ypsilanti in Michigan State for a number of years. The defendant negotiated for tax relief from the plaintiff, Ypsilanti, in order to advance the operations of one of its ventures, Willow Run Company. Ypsilanti heeded to the call of General Motors and issued two tax abatements in the years 1984 and 1988</w:t>
      </w:r>
      <w:r w:rsidR="00A86130" w:rsidRPr="00DD2F62">
        <w:rPr>
          <w:rFonts w:ascii="Times New Roman" w:hAnsi="Times New Roman" w:cs="Times New Roman"/>
          <w:sz w:val="24"/>
          <w:szCs w:val="24"/>
        </w:rPr>
        <w:t xml:space="preserve"> (LexRoll, 2019)</w:t>
      </w:r>
      <w:r w:rsidRPr="00DD2F62">
        <w:rPr>
          <w:rFonts w:ascii="Times New Roman" w:hAnsi="Times New Roman" w:cs="Times New Roman"/>
          <w:sz w:val="24"/>
          <w:szCs w:val="24"/>
        </w:rPr>
        <w:t xml:space="preserve">. The primary motive why the plaintiff granted General Motors the tax relief was to advocate for the provision of more employment opportunities in the State of Michigan for enhanced economic development. During one of the public hearing sessions, </w:t>
      </w:r>
      <w:r w:rsidR="0077197E">
        <w:rPr>
          <w:rFonts w:ascii="Times New Roman" w:hAnsi="Times New Roman" w:cs="Times New Roman"/>
          <w:sz w:val="24"/>
          <w:szCs w:val="24"/>
        </w:rPr>
        <w:t xml:space="preserve">Williams, </w:t>
      </w:r>
      <w:r w:rsidRPr="00DD2F62">
        <w:rPr>
          <w:rFonts w:ascii="Times New Roman" w:hAnsi="Times New Roman" w:cs="Times New Roman"/>
          <w:sz w:val="24"/>
          <w:szCs w:val="24"/>
        </w:rPr>
        <w:t xml:space="preserve">the manager of Willow Run alluded that once the company was completed, it would enhance production and create regular employment opportunities for the locals. However, in the year 1991, General Motors Inc. revealed that it was going to shut down the operations of one of its subsidiary companies in Michigan State and relocate the company to Texas. General Motors cited a reduction in the price of its products and ultimate business losses as the primary arguments for the relocation. Ypsilanti, the plaintiff, filed a lawsuit in the Circuit Court of Michigan accusing General Motors Inc. of breaching the </w:t>
      </w:r>
      <w:r w:rsidRPr="00DD2F62">
        <w:rPr>
          <w:rFonts w:ascii="Times New Roman" w:hAnsi="Times New Roman" w:cs="Times New Roman"/>
          <w:sz w:val="24"/>
          <w:szCs w:val="24"/>
        </w:rPr>
        <w:lastRenderedPageBreak/>
        <w:t>contract</w:t>
      </w:r>
      <w:r w:rsidR="00A86130" w:rsidRPr="00DD2F62">
        <w:rPr>
          <w:rFonts w:ascii="Times New Roman" w:hAnsi="Times New Roman" w:cs="Times New Roman"/>
          <w:sz w:val="24"/>
          <w:szCs w:val="24"/>
        </w:rPr>
        <w:t xml:space="preserve"> (LexRoll, 2019</w:t>
      </w:r>
      <w:r w:rsidR="00A86130" w:rsidRPr="00DD2F62">
        <w:rPr>
          <w:rFonts w:ascii="Times New Roman" w:hAnsi="Times New Roman" w:cs="Times New Roman"/>
          <w:b/>
          <w:sz w:val="24"/>
          <w:szCs w:val="24"/>
        </w:rPr>
        <w:t>)</w:t>
      </w:r>
      <w:r w:rsidRPr="00DD2F62">
        <w:rPr>
          <w:rFonts w:ascii="Times New Roman" w:hAnsi="Times New Roman" w:cs="Times New Roman"/>
          <w:sz w:val="24"/>
          <w:szCs w:val="24"/>
        </w:rPr>
        <w:t xml:space="preserve">. Washtenaw, the plaintiff's county, enjoined the case as a voluntary party. In its ruling, the lower court held that the fact that General Motors had promised to proceed with production operations in Ypsilanti did not result in a binding contract between the two parties. However, the lower court ruled that General Motors, on the basis of estoppel and misrepresentation, was obliged to retain operations in the plaintiff's territory. General Motors appealed the decision of the lower court.  </w:t>
      </w:r>
    </w:p>
    <w:p w:rsidR="00A63D2F" w:rsidRPr="00DD2F62" w:rsidRDefault="00A63D2F" w:rsidP="00DD2F62">
      <w:pPr>
        <w:spacing w:line="480" w:lineRule="auto"/>
        <w:jc w:val="center"/>
        <w:rPr>
          <w:rFonts w:ascii="Times New Roman" w:hAnsi="Times New Roman" w:cs="Times New Roman"/>
          <w:b/>
          <w:sz w:val="24"/>
          <w:szCs w:val="24"/>
        </w:rPr>
      </w:pPr>
      <w:r w:rsidRPr="00DD2F62">
        <w:rPr>
          <w:rFonts w:ascii="Times New Roman" w:hAnsi="Times New Roman" w:cs="Times New Roman"/>
          <w:b/>
          <w:sz w:val="24"/>
          <w:szCs w:val="24"/>
        </w:rPr>
        <w:t>Issue</w:t>
      </w:r>
    </w:p>
    <w:p w:rsidR="00A63D2F" w:rsidRPr="00DD2F62" w:rsidRDefault="00A63D2F" w:rsidP="00DD2F62">
      <w:pPr>
        <w:pStyle w:val="ListParagraph"/>
        <w:numPr>
          <w:ilvl w:val="0"/>
          <w:numId w:val="4"/>
        </w:numPr>
        <w:spacing w:line="480" w:lineRule="auto"/>
        <w:rPr>
          <w:rFonts w:ascii="Times New Roman" w:hAnsi="Times New Roman" w:cs="Times New Roman"/>
          <w:sz w:val="24"/>
          <w:szCs w:val="24"/>
        </w:rPr>
      </w:pPr>
      <w:r w:rsidRPr="00DD2F62">
        <w:rPr>
          <w:rFonts w:ascii="Times New Roman" w:hAnsi="Times New Roman" w:cs="Times New Roman"/>
          <w:sz w:val="24"/>
          <w:szCs w:val="24"/>
        </w:rPr>
        <w:t>Did the estoppel principle oblige General Motors to proceed with production operations in Ypsilanti even after receiving the tax inducement?</w:t>
      </w:r>
    </w:p>
    <w:p w:rsidR="00A63D2F" w:rsidRPr="00DD2F62" w:rsidRDefault="00A63D2F" w:rsidP="00DD2F62">
      <w:pPr>
        <w:spacing w:line="480" w:lineRule="auto"/>
        <w:jc w:val="center"/>
        <w:rPr>
          <w:rFonts w:ascii="Times New Roman" w:hAnsi="Times New Roman" w:cs="Times New Roman"/>
          <w:b/>
          <w:sz w:val="24"/>
          <w:szCs w:val="24"/>
        </w:rPr>
      </w:pPr>
      <w:r w:rsidRPr="00DD2F62">
        <w:rPr>
          <w:rFonts w:ascii="Times New Roman" w:hAnsi="Times New Roman" w:cs="Times New Roman"/>
          <w:b/>
          <w:sz w:val="24"/>
          <w:szCs w:val="24"/>
        </w:rPr>
        <w:t>Holding</w:t>
      </w:r>
    </w:p>
    <w:p w:rsidR="00A63D2F" w:rsidRPr="00DD2F62" w:rsidRDefault="00A63D2F" w:rsidP="00DD2F62">
      <w:pPr>
        <w:pStyle w:val="ListParagraph"/>
        <w:numPr>
          <w:ilvl w:val="0"/>
          <w:numId w:val="5"/>
        </w:numPr>
        <w:spacing w:line="480" w:lineRule="auto"/>
        <w:rPr>
          <w:rFonts w:ascii="Times New Roman" w:hAnsi="Times New Roman" w:cs="Times New Roman"/>
          <w:sz w:val="24"/>
          <w:szCs w:val="24"/>
        </w:rPr>
      </w:pPr>
      <w:r w:rsidRPr="00DD2F62">
        <w:rPr>
          <w:rFonts w:ascii="Times New Roman" w:hAnsi="Times New Roman" w:cs="Times New Roman"/>
          <w:sz w:val="24"/>
          <w:szCs w:val="24"/>
        </w:rPr>
        <w:t xml:space="preserve">No. The estoppel principle did not oblige General Motors to proceed with production operations in the plaintiff's backyard even after receiving the tax relief inducement. </w:t>
      </w:r>
    </w:p>
    <w:p w:rsidR="00A63D2F" w:rsidRPr="00DD2F62" w:rsidRDefault="00A63D2F" w:rsidP="00DD2F62">
      <w:pPr>
        <w:spacing w:line="480" w:lineRule="auto"/>
        <w:jc w:val="center"/>
        <w:rPr>
          <w:rFonts w:ascii="Times New Roman" w:hAnsi="Times New Roman" w:cs="Times New Roman"/>
          <w:b/>
          <w:sz w:val="24"/>
          <w:szCs w:val="24"/>
        </w:rPr>
      </w:pPr>
      <w:r w:rsidRPr="00DD2F62">
        <w:rPr>
          <w:rFonts w:ascii="Times New Roman" w:hAnsi="Times New Roman" w:cs="Times New Roman"/>
          <w:b/>
          <w:sz w:val="24"/>
          <w:szCs w:val="24"/>
        </w:rPr>
        <w:t>Reasons</w:t>
      </w:r>
    </w:p>
    <w:p w:rsidR="00A63D2F" w:rsidRPr="00DD2F62" w:rsidRDefault="00A63D2F" w:rsidP="00DD2F62">
      <w:pPr>
        <w:pStyle w:val="ListParagraph"/>
        <w:numPr>
          <w:ilvl w:val="0"/>
          <w:numId w:val="6"/>
        </w:numPr>
        <w:spacing w:line="480" w:lineRule="auto"/>
        <w:rPr>
          <w:rFonts w:ascii="Times New Roman" w:hAnsi="Times New Roman" w:cs="Times New Roman"/>
          <w:sz w:val="24"/>
          <w:szCs w:val="24"/>
        </w:rPr>
      </w:pPr>
      <w:r w:rsidRPr="00DD2F62">
        <w:rPr>
          <w:rFonts w:ascii="Times New Roman" w:hAnsi="Times New Roman" w:cs="Times New Roman"/>
          <w:sz w:val="24"/>
          <w:szCs w:val="24"/>
        </w:rPr>
        <w:t xml:space="preserve">In its ruling, </w:t>
      </w:r>
      <w:bookmarkStart w:id="0" w:name="_GoBack"/>
      <w:bookmarkEnd w:id="0"/>
      <w:r w:rsidRPr="00DD2F62">
        <w:rPr>
          <w:rFonts w:ascii="Times New Roman" w:hAnsi="Times New Roman" w:cs="Times New Roman"/>
          <w:sz w:val="24"/>
          <w:szCs w:val="24"/>
        </w:rPr>
        <w:t xml:space="preserve">the Circuit Court of Michigan upheld the decision of the lower court that by the fact that General Motors promised to continue with production in the plaintiff's territory did not form a binding agreement. Therefore, this did not form the basis of a breach of contract. According to the ruling of the Circuit Court, the fact that a business enterprise woos tax reliefs from municipalities with the assurance of the creation of enormous employment opportunities does not form evidence that can form a promise. Ideally, tax relief is given to business organizations to induce them to establish business enterprises in a certain location. The fact that a business organization uses exaggeration </w:t>
      </w:r>
      <w:r w:rsidRPr="00DD2F62">
        <w:rPr>
          <w:rFonts w:ascii="Times New Roman" w:hAnsi="Times New Roman" w:cs="Times New Roman"/>
          <w:sz w:val="24"/>
          <w:szCs w:val="24"/>
        </w:rPr>
        <w:lastRenderedPageBreak/>
        <w:t>in either price or other product promotion activities does not necessarily guarantee a promise</w:t>
      </w:r>
      <w:r w:rsidR="00A86130" w:rsidRPr="00DD2F62">
        <w:rPr>
          <w:rFonts w:ascii="Times New Roman" w:hAnsi="Times New Roman" w:cs="Times New Roman"/>
          <w:sz w:val="24"/>
          <w:szCs w:val="24"/>
        </w:rPr>
        <w:t xml:space="preserve"> (</w:t>
      </w:r>
      <w:r w:rsidR="00A86130" w:rsidRPr="00A86130">
        <w:rPr>
          <w:rFonts w:ascii="Times New Roman" w:eastAsia="Times New Roman" w:hAnsi="Times New Roman" w:cs="Times New Roman"/>
          <w:sz w:val="24"/>
          <w:szCs w:val="24"/>
        </w:rPr>
        <w:t>Alden</w:t>
      </w:r>
      <w:r w:rsidR="00A86130" w:rsidRPr="00DD2F62">
        <w:rPr>
          <w:rFonts w:ascii="Times New Roman" w:eastAsia="Times New Roman" w:hAnsi="Times New Roman" w:cs="Times New Roman"/>
          <w:sz w:val="24"/>
          <w:szCs w:val="24"/>
        </w:rPr>
        <w:t>, 2017)</w:t>
      </w:r>
      <w:r w:rsidRPr="00DD2F62">
        <w:rPr>
          <w:rFonts w:ascii="Times New Roman" w:hAnsi="Times New Roman" w:cs="Times New Roman"/>
          <w:sz w:val="24"/>
          <w:szCs w:val="24"/>
        </w:rPr>
        <w:t>.</w:t>
      </w:r>
    </w:p>
    <w:p w:rsidR="00FA2586" w:rsidRPr="00DD2F62" w:rsidRDefault="00A63D2F" w:rsidP="00DD2F62">
      <w:pPr>
        <w:pStyle w:val="ListParagraph"/>
        <w:numPr>
          <w:ilvl w:val="0"/>
          <w:numId w:val="6"/>
        </w:numPr>
        <w:spacing w:line="480" w:lineRule="auto"/>
        <w:rPr>
          <w:rFonts w:ascii="Times New Roman" w:hAnsi="Times New Roman" w:cs="Times New Roman"/>
        </w:rPr>
      </w:pPr>
      <w:r w:rsidRPr="00DD2F62">
        <w:rPr>
          <w:rFonts w:ascii="Times New Roman" w:hAnsi="Times New Roman" w:cs="Times New Roman"/>
          <w:sz w:val="24"/>
          <w:szCs w:val="24"/>
        </w:rPr>
        <w:t xml:space="preserve">In the case of </w:t>
      </w:r>
      <w:r w:rsidRPr="00DD2F62">
        <w:rPr>
          <w:rFonts w:ascii="Times New Roman" w:hAnsi="Times New Roman" w:cs="Times New Roman"/>
          <w:i/>
          <w:sz w:val="24"/>
          <w:szCs w:val="24"/>
        </w:rPr>
        <w:t>Marine Transport Lines, Inc. v Int'l Organization of Masters, Mates, Pilots</w:t>
      </w:r>
      <w:r w:rsidRPr="00DD2F62">
        <w:rPr>
          <w:rFonts w:ascii="Times New Roman" w:hAnsi="Times New Roman" w:cs="Times New Roman"/>
          <w:sz w:val="24"/>
          <w:szCs w:val="24"/>
        </w:rPr>
        <w:t>, the court ruled that when business corporations make statements like "we anticipate working together" and " we will be partners," such statements do not lead to a promise that would constitute estoppel</w:t>
      </w:r>
      <w:r w:rsidR="00A86130" w:rsidRPr="00DD2F62">
        <w:rPr>
          <w:rFonts w:ascii="Times New Roman" w:hAnsi="Times New Roman" w:cs="Times New Roman"/>
          <w:sz w:val="24"/>
          <w:szCs w:val="24"/>
        </w:rPr>
        <w:t xml:space="preserve"> (JUSTIA US Law, 2020)</w:t>
      </w:r>
      <w:r w:rsidRPr="00DD2F62">
        <w:rPr>
          <w:rFonts w:ascii="Times New Roman" w:hAnsi="Times New Roman" w:cs="Times New Roman"/>
          <w:sz w:val="24"/>
          <w:szCs w:val="24"/>
        </w:rPr>
        <w:t xml:space="preserve">. In addition, for a promise to constitute promissory estoppel, it must be precise, actual and explicit. In the given case scenario, there was no precise, actual and explicit promise that would constitute promissory estoppel. The Circuit Court also revealed that the arguments that the plaintiff termed as a promise from the defendant were mere statements or expressions. Naturally, the acts of job creation were the normal acts that any business organization would state in the quest for tax relief, and this does not constitute a promise. Besides, the revelation that by the manager of Willow Run Company that it would increase production to streamline job creation was a mere statement and not a promise.  </w:t>
      </w:r>
    </w:p>
    <w:p w:rsidR="00DD2F62" w:rsidRDefault="00DD2F62" w:rsidP="00DD2F62">
      <w:pPr>
        <w:spacing w:line="480" w:lineRule="auto"/>
        <w:jc w:val="center"/>
        <w:rPr>
          <w:rFonts w:ascii="Times New Roman" w:hAnsi="Times New Roman" w:cs="Times New Roman"/>
          <w:b/>
          <w:sz w:val="24"/>
          <w:szCs w:val="24"/>
        </w:rPr>
      </w:pPr>
    </w:p>
    <w:p w:rsidR="00DD2F62" w:rsidRDefault="00DD2F62" w:rsidP="00DD2F62">
      <w:pPr>
        <w:spacing w:line="480" w:lineRule="auto"/>
        <w:jc w:val="center"/>
        <w:rPr>
          <w:rFonts w:ascii="Times New Roman" w:hAnsi="Times New Roman" w:cs="Times New Roman"/>
          <w:b/>
          <w:sz w:val="24"/>
          <w:szCs w:val="24"/>
        </w:rPr>
      </w:pPr>
    </w:p>
    <w:p w:rsidR="00DD2F62" w:rsidRDefault="00DD2F62" w:rsidP="00DD2F62">
      <w:pPr>
        <w:spacing w:line="480" w:lineRule="auto"/>
        <w:jc w:val="center"/>
        <w:rPr>
          <w:rFonts w:ascii="Times New Roman" w:hAnsi="Times New Roman" w:cs="Times New Roman"/>
          <w:b/>
          <w:sz w:val="24"/>
          <w:szCs w:val="24"/>
        </w:rPr>
      </w:pPr>
    </w:p>
    <w:p w:rsidR="00DD2F62" w:rsidRDefault="00DD2F62" w:rsidP="00DD2F62">
      <w:pPr>
        <w:spacing w:line="480" w:lineRule="auto"/>
        <w:jc w:val="center"/>
        <w:rPr>
          <w:rFonts w:ascii="Times New Roman" w:hAnsi="Times New Roman" w:cs="Times New Roman"/>
          <w:b/>
          <w:sz w:val="24"/>
          <w:szCs w:val="24"/>
        </w:rPr>
      </w:pPr>
    </w:p>
    <w:p w:rsidR="00DD2F62" w:rsidRDefault="00DD2F62" w:rsidP="00DD2F62">
      <w:pPr>
        <w:spacing w:line="480" w:lineRule="auto"/>
        <w:jc w:val="center"/>
        <w:rPr>
          <w:rFonts w:ascii="Times New Roman" w:hAnsi="Times New Roman" w:cs="Times New Roman"/>
          <w:b/>
          <w:sz w:val="24"/>
          <w:szCs w:val="24"/>
        </w:rPr>
      </w:pPr>
    </w:p>
    <w:p w:rsidR="00DD2F62" w:rsidRDefault="00DD2F62" w:rsidP="00DD2F62">
      <w:pPr>
        <w:spacing w:line="480" w:lineRule="auto"/>
        <w:jc w:val="center"/>
        <w:rPr>
          <w:rFonts w:ascii="Times New Roman" w:hAnsi="Times New Roman" w:cs="Times New Roman"/>
          <w:b/>
          <w:sz w:val="24"/>
          <w:szCs w:val="24"/>
        </w:rPr>
      </w:pPr>
    </w:p>
    <w:p w:rsidR="00DD2F62" w:rsidRDefault="00DD2F62" w:rsidP="00DD2F62">
      <w:pPr>
        <w:spacing w:line="480" w:lineRule="auto"/>
        <w:jc w:val="center"/>
        <w:rPr>
          <w:rFonts w:ascii="Times New Roman" w:hAnsi="Times New Roman" w:cs="Times New Roman"/>
          <w:b/>
          <w:sz w:val="24"/>
          <w:szCs w:val="24"/>
        </w:rPr>
      </w:pPr>
    </w:p>
    <w:p w:rsidR="00DD2F62" w:rsidRPr="00DD2F62" w:rsidRDefault="00FA2586" w:rsidP="00DD2F62">
      <w:pPr>
        <w:spacing w:line="480" w:lineRule="auto"/>
        <w:jc w:val="center"/>
        <w:rPr>
          <w:rFonts w:ascii="Times New Roman" w:hAnsi="Times New Roman" w:cs="Times New Roman"/>
          <w:b/>
          <w:sz w:val="24"/>
          <w:szCs w:val="24"/>
        </w:rPr>
      </w:pPr>
      <w:r w:rsidRPr="00DD2F62">
        <w:rPr>
          <w:rFonts w:ascii="Times New Roman" w:hAnsi="Times New Roman" w:cs="Times New Roman"/>
          <w:b/>
          <w:sz w:val="24"/>
          <w:szCs w:val="24"/>
        </w:rPr>
        <w:lastRenderedPageBreak/>
        <w:t>References</w:t>
      </w:r>
    </w:p>
    <w:p w:rsidR="00DD2F62" w:rsidRPr="00A86130" w:rsidRDefault="00DD2F62" w:rsidP="00DD2F62">
      <w:pPr>
        <w:spacing w:after="0" w:line="480" w:lineRule="auto"/>
        <w:ind w:left="720" w:hanging="720"/>
        <w:rPr>
          <w:rFonts w:ascii="Times New Roman" w:eastAsia="Times New Roman" w:hAnsi="Times New Roman" w:cs="Times New Roman"/>
          <w:sz w:val="24"/>
          <w:szCs w:val="24"/>
        </w:rPr>
      </w:pPr>
      <w:r w:rsidRPr="00A86130">
        <w:rPr>
          <w:rFonts w:ascii="Times New Roman" w:eastAsia="Times New Roman" w:hAnsi="Times New Roman" w:cs="Times New Roman"/>
          <w:sz w:val="24"/>
          <w:szCs w:val="24"/>
        </w:rPr>
        <w:t>Alden, E. (2017). Promissory Estoppel and the Origins of Contract Law.</w:t>
      </w:r>
      <w:r w:rsidRPr="00A86130">
        <w:rPr>
          <w:rFonts w:ascii="Times New Roman" w:eastAsia="Times New Roman" w:hAnsi="Times New Roman" w:cs="Times New Roman"/>
          <w:i/>
          <w:iCs/>
          <w:sz w:val="24"/>
          <w:szCs w:val="24"/>
        </w:rPr>
        <w:t>NEULJ</w:t>
      </w:r>
      <w:r w:rsidRPr="00A86130">
        <w:rPr>
          <w:rFonts w:ascii="Times New Roman" w:eastAsia="Times New Roman" w:hAnsi="Times New Roman" w:cs="Times New Roman"/>
          <w:sz w:val="24"/>
          <w:szCs w:val="24"/>
        </w:rPr>
        <w:t xml:space="preserve">, </w:t>
      </w:r>
      <w:r w:rsidRPr="00A86130">
        <w:rPr>
          <w:rFonts w:ascii="Times New Roman" w:eastAsia="Times New Roman" w:hAnsi="Times New Roman" w:cs="Times New Roman"/>
          <w:i/>
          <w:iCs/>
          <w:sz w:val="24"/>
          <w:szCs w:val="24"/>
        </w:rPr>
        <w:t>9</w:t>
      </w:r>
      <w:r w:rsidRPr="00A86130">
        <w:rPr>
          <w:rFonts w:ascii="Times New Roman" w:eastAsia="Times New Roman" w:hAnsi="Times New Roman" w:cs="Times New Roman"/>
          <w:sz w:val="24"/>
          <w:szCs w:val="24"/>
        </w:rPr>
        <w:t>, 1.</w:t>
      </w:r>
    </w:p>
    <w:p w:rsidR="00DD2F62" w:rsidRPr="00DD2F62" w:rsidRDefault="00DD2F62" w:rsidP="00DD2F62">
      <w:pPr>
        <w:pStyle w:val="Heading1"/>
        <w:spacing w:line="480" w:lineRule="auto"/>
        <w:ind w:left="720" w:hanging="720"/>
        <w:rPr>
          <w:b w:val="0"/>
          <w:sz w:val="24"/>
          <w:szCs w:val="24"/>
        </w:rPr>
      </w:pPr>
      <w:r w:rsidRPr="00DD2F62">
        <w:rPr>
          <w:b w:val="0"/>
          <w:sz w:val="24"/>
          <w:szCs w:val="24"/>
        </w:rPr>
        <w:t xml:space="preserve">JUSTIA US Law. (2020).Marine Transport Lines, Inc. v. International Organization, 696 F. Supp. 1 (S.D.N.Y. 1988). Retrieved from </w:t>
      </w:r>
      <w:hyperlink r:id="rId7" w:history="1">
        <w:r w:rsidRPr="00DD2F62">
          <w:rPr>
            <w:rStyle w:val="Hyperlink"/>
            <w:b w:val="0"/>
            <w:sz w:val="24"/>
            <w:szCs w:val="24"/>
          </w:rPr>
          <w:t>https://law.justia.com/cases/federal/district-courts/FSupp/696/1/1421870/</w:t>
        </w:r>
      </w:hyperlink>
    </w:p>
    <w:p w:rsidR="00DD2F62" w:rsidRPr="00DD2F62" w:rsidRDefault="00DD2F62" w:rsidP="00DD2F62">
      <w:pPr>
        <w:pStyle w:val="Heading1"/>
        <w:spacing w:line="480" w:lineRule="auto"/>
        <w:ind w:left="720" w:hanging="720"/>
        <w:rPr>
          <w:b w:val="0"/>
          <w:sz w:val="24"/>
          <w:szCs w:val="24"/>
        </w:rPr>
      </w:pPr>
      <w:r w:rsidRPr="00DD2F62">
        <w:rPr>
          <w:b w:val="0"/>
          <w:sz w:val="24"/>
          <w:szCs w:val="24"/>
        </w:rPr>
        <w:t xml:space="preserve">LexRoll. (2019). Charter Township of Ypsilanti v. General Motors Corp. Retrieved from </w:t>
      </w:r>
      <w:hyperlink r:id="rId8" w:history="1">
        <w:r w:rsidRPr="00DD2F62">
          <w:rPr>
            <w:rStyle w:val="Hyperlink"/>
            <w:b w:val="0"/>
            <w:sz w:val="24"/>
            <w:szCs w:val="24"/>
          </w:rPr>
          <w:t>https://encyclopedia.lexroll.com/encyclopedia/charter-township-ypsilanti-v-general-motors-corp/</w:t>
        </w:r>
      </w:hyperlink>
    </w:p>
    <w:p w:rsidR="00FA2586" w:rsidRPr="00DD2F62" w:rsidRDefault="00FA2586" w:rsidP="00DD2F62">
      <w:pPr>
        <w:pStyle w:val="Heading1"/>
        <w:spacing w:line="480" w:lineRule="auto"/>
        <w:rPr>
          <w:b w:val="0"/>
          <w:sz w:val="24"/>
          <w:szCs w:val="24"/>
        </w:rPr>
      </w:pPr>
    </w:p>
    <w:p w:rsidR="00FA2586" w:rsidRPr="00DD2F62" w:rsidRDefault="00FA2586" w:rsidP="00DD2F62">
      <w:pPr>
        <w:spacing w:line="480" w:lineRule="auto"/>
        <w:rPr>
          <w:rFonts w:ascii="Times New Roman" w:hAnsi="Times New Roman" w:cs="Times New Roman"/>
          <w:sz w:val="24"/>
          <w:szCs w:val="24"/>
        </w:rPr>
      </w:pPr>
    </w:p>
    <w:p w:rsidR="000D0825" w:rsidRPr="00DD2F62" w:rsidRDefault="000D0825" w:rsidP="00DD2F62">
      <w:pPr>
        <w:spacing w:line="480" w:lineRule="auto"/>
        <w:rPr>
          <w:rFonts w:ascii="Times New Roman" w:hAnsi="Times New Roman" w:cs="Times New Roman"/>
        </w:rPr>
      </w:pPr>
    </w:p>
    <w:sectPr w:rsidR="000D0825" w:rsidRPr="00DD2F62" w:rsidSect="00DD2F6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F3B" w:rsidRDefault="009B6F3B" w:rsidP="00DD2F62">
      <w:pPr>
        <w:spacing w:after="0" w:line="240" w:lineRule="auto"/>
      </w:pPr>
      <w:r>
        <w:separator/>
      </w:r>
    </w:p>
  </w:endnote>
  <w:endnote w:type="continuationSeparator" w:id="1">
    <w:p w:rsidR="009B6F3B" w:rsidRDefault="009B6F3B" w:rsidP="00DD2F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F3B" w:rsidRDefault="009B6F3B" w:rsidP="00DD2F62">
      <w:pPr>
        <w:spacing w:after="0" w:line="240" w:lineRule="auto"/>
      </w:pPr>
      <w:r>
        <w:separator/>
      </w:r>
    </w:p>
  </w:footnote>
  <w:footnote w:type="continuationSeparator" w:id="1">
    <w:p w:rsidR="009B6F3B" w:rsidRDefault="009B6F3B" w:rsidP="00DD2F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62" w:rsidRPr="00DD2F62" w:rsidRDefault="00DD2F62">
    <w:pPr>
      <w:pStyle w:val="Header"/>
      <w:rPr>
        <w:rFonts w:ascii="Times New Roman" w:hAnsi="Times New Roman" w:cs="Times New Roman"/>
        <w:sz w:val="24"/>
        <w:szCs w:val="24"/>
      </w:rPr>
    </w:pPr>
    <w:r>
      <w:tab/>
    </w:r>
    <w:r>
      <w:tab/>
    </w:r>
    <w:r w:rsidR="003C140A" w:rsidRPr="00DD2F62">
      <w:rPr>
        <w:rFonts w:ascii="Times New Roman" w:hAnsi="Times New Roman" w:cs="Times New Roman"/>
        <w:sz w:val="24"/>
        <w:szCs w:val="24"/>
      </w:rPr>
      <w:fldChar w:fldCharType="begin"/>
    </w:r>
    <w:r w:rsidRPr="00DD2F62">
      <w:rPr>
        <w:rFonts w:ascii="Times New Roman" w:hAnsi="Times New Roman" w:cs="Times New Roman"/>
        <w:sz w:val="24"/>
        <w:szCs w:val="24"/>
      </w:rPr>
      <w:instrText xml:space="preserve"> PAGE   \* MERGEFORMAT </w:instrText>
    </w:r>
    <w:r w:rsidR="003C140A" w:rsidRPr="00DD2F62">
      <w:rPr>
        <w:rFonts w:ascii="Times New Roman" w:hAnsi="Times New Roman" w:cs="Times New Roman"/>
        <w:sz w:val="24"/>
        <w:szCs w:val="24"/>
      </w:rPr>
      <w:fldChar w:fldCharType="separate"/>
    </w:r>
    <w:r w:rsidR="002745CE">
      <w:rPr>
        <w:rFonts w:ascii="Times New Roman" w:hAnsi="Times New Roman" w:cs="Times New Roman"/>
        <w:noProof/>
        <w:sz w:val="24"/>
        <w:szCs w:val="24"/>
      </w:rPr>
      <w:t>5</w:t>
    </w:r>
    <w:r w:rsidR="003C140A" w:rsidRPr="00DD2F62">
      <w:rPr>
        <w:rFonts w:ascii="Times New Roman" w:hAnsi="Times New Roman" w:cs="Times New Roman"/>
        <w:noProof/>
        <w:sz w:val="24"/>
        <w:szCs w:val="24"/>
      </w:rPr>
      <w:fldChar w:fldCharType="end"/>
    </w:r>
  </w:p>
  <w:p w:rsidR="00DD2F62" w:rsidRDefault="00DD2F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F62" w:rsidRPr="00DD2F62" w:rsidRDefault="00DD2F62">
    <w:pPr>
      <w:pStyle w:val="Header"/>
      <w:rPr>
        <w:rFonts w:ascii="Times New Roman" w:hAnsi="Times New Roman" w:cs="Times New Roman"/>
        <w:sz w:val="24"/>
        <w:szCs w:val="24"/>
      </w:rPr>
    </w:pPr>
    <w:r>
      <w:tab/>
    </w:r>
    <w:r>
      <w:tab/>
    </w:r>
    <w:r w:rsidR="003C140A" w:rsidRPr="00DD2F62">
      <w:rPr>
        <w:rFonts w:ascii="Times New Roman" w:hAnsi="Times New Roman" w:cs="Times New Roman"/>
        <w:sz w:val="24"/>
        <w:szCs w:val="24"/>
      </w:rPr>
      <w:fldChar w:fldCharType="begin"/>
    </w:r>
    <w:r w:rsidRPr="00DD2F62">
      <w:rPr>
        <w:rFonts w:ascii="Times New Roman" w:hAnsi="Times New Roman" w:cs="Times New Roman"/>
        <w:sz w:val="24"/>
        <w:szCs w:val="24"/>
      </w:rPr>
      <w:instrText xml:space="preserve"> PAGE   \* MERGEFORMAT </w:instrText>
    </w:r>
    <w:r w:rsidR="003C140A" w:rsidRPr="00DD2F62">
      <w:rPr>
        <w:rFonts w:ascii="Times New Roman" w:hAnsi="Times New Roman" w:cs="Times New Roman"/>
        <w:sz w:val="24"/>
        <w:szCs w:val="24"/>
      </w:rPr>
      <w:fldChar w:fldCharType="separate"/>
    </w:r>
    <w:r w:rsidR="002745CE">
      <w:rPr>
        <w:rFonts w:ascii="Times New Roman" w:hAnsi="Times New Roman" w:cs="Times New Roman"/>
        <w:noProof/>
        <w:sz w:val="24"/>
        <w:szCs w:val="24"/>
      </w:rPr>
      <w:t>1</w:t>
    </w:r>
    <w:r w:rsidR="003C140A" w:rsidRPr="00DD2F62">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13B93"/>
    <w:multiLevelType w:val="hybridMultilevel"/>
    <w:tmpl w:val="3BAC9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D337E6"/>
    <w:multiLevelType w:val="hybridMultilevel"/>
    <w:tmpl w:val="506ED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CB6525"/>
    <w:multiLevelType w:val="hybridMultilevel"/>
    <w:tmpl w:val="78AAA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5B7F98"/>
    <w:multiLevelType w:val="hybridMultilevel"/>
    <w:tmpl w:val="7DD0F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EF322B"/>
    <w:multiLevelType w:val="hybridMultilevel"/>
    <w:tmpl w:val="DEB45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253D9E"/>
    <w:multiLevelType w:val="hybridMultilevel"/>
    <w:tmpl w:val="6DE8C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97524"/>
    <w:rsid w:val="000D0825"/>
    <w:rsid w:val="000E7AC7"/>
    <w:rsid w:val="001F0D14"/>
    <w:rsid w:val="002745CE"/>
    <w:rsid w:val="00296B95"/>
    <w:rsid w:val="003C140A"/>
    <w:rsid w:val="004006F4"/>
    <w:rsid w:val="0049375A"/>
    <w:rsid w:val="00534D8E"/>
    <w:rsid w:val="00550375"/>
    <w:rsid w:val="0055106F"/>
    <w:rsid w:val="00592DB2"/>
    <w:rsid w:val="005B3C27"/>
    <w:rsid w:val="00632052"/>
    <w:rsid w:val="00664254"/>
    <w:rsid w:val="00697524"/>
    <w:rsid w:val="0071172C"/>
    <w:rsid w:val="00746847"/>
    <w:rsid w:val="0077197E"/>
    <w:rsid w:val="007B5017"/>
    <w:rsid w:val="0087303E"/>
    <w:rsid w:val="009656F6"/>
    <w:rsid w:val="009B6F3B"/>
    <w:rsid w:val="00A0229F"/>
    <w:rsid w:val="00A63D2F"/>
    <w:rsid w:val="00A86130"/>
    <w:rsid w:val="00B31597"/>
    <w:rsid w:val="00BE428A"/>
    <w:rsid w:val="00C644B7"/>
    <w:rsid w:val="00CE168E"/>
    <w:rsid w:val="00CE6823"/>
    <w:rsid w:val="00D17978"/>
    <w:rsid w:val="00DD2F62"/>
    <w:rsid w:val="00DD494C"/>
    <w:rsid w:val="00E13EDE"/>
    <w:rsid w:val="00E438E8"/>
    <w:rsid w:val="00E64A3A"/>
    <w:rsid w:val="00F07F97"/>
    <w:rsid w:val="00F364BC"/>
    <w:rsid w:val="00FA2586"/>
    <w:rsid w:val="00FF5D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823"/>
  </w:style>
  <w:style w:type="paragraph" w:styleId="Heading1">
    <w:name w:val="heading 1"/>
    <w:basedOn w:val="Normal"/>
    <w:link w:val="Heading1Char"/>
    <w:uiPriority w:val="9"/>
    <w:qFormat/>
    <w:rsid w:val="00FA25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64A3A"/>
    <w:pPr>
      <w:spacing w:after="160" w:line="259" w:lineRule="auto"/>
    </w:pPr>
    <w:rPr>
      <w:rFonts w:ascii="Calibri" w:eastAsia="Calibri" w:hAnsi="Calibri" w:cs="Calibri"/>
    </w:rPr>
  </w:style>
  <w:style w:type="paragraph" w:styleId="ListParagraph">
    <w:name w:val="List Paragraph"/>
    <w:basedOn w:val="Normal"/>
    <w:uiPriority w:val="34"/>
    <w:qFormat/>
    <w:rsid w:val="000D0825"/>
    <w:pPr>
      <w:ind w:left="720"/>
      <w:contextualSpacing/>
    </w:pPr>
  </w:style>
  <w:style w:type="character" w:customStyle="1" w:styleId="Heading1Char">
    <w:name w:val="Heading 1 Char"/>
    <w:basedOn w:val="DefaultParagraphFont"/>
    <w:link w:val="Heading1"/>
    <w:uiPriority w:val="9"/>
    <w:rsid w:val="00FA258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A2586"/>
    <w:rPr>
      <w:color w:val="0000FF" w:themeColor="hyperlink"/>
      <w:u w:val="single"/>
    </w:rPr>
  </w:style>
  <w:style w:type="paragraph" w:styleId="Header">
    <w:name w:val="header"/>
    <w:basedOn w:val="Normal"/>
    <w:link w:val="HeaderChar"/>
    <w:uiPriority w:val="99"/>
    <w:unhideWhenUsed/>
    <w:rsid w:val="00DD2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F62"/>
  </w:style>
  <w:style w:type="paragraph" w:styleId="Footer">
    <w:name w:val="footer"/>
    <w:basedOn w:val="Normal"/>
    <w:link w:val="FooterChar"/>
    <w:uiPriority w:val="99"/>
    <w:unhideWhenUsed/>
    <w:rsid w:val="00DD2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F62"/>
  </w:style>
  <w:style w:type="paragraph" w:styleId="BalloonText">
    <w:name w:val="Balloon Text"/>
    <w:basedOn w:val="Normal"/>
    <w:link w:val="BalloonTextChar"/>
    <w:uiPriority w:val="99"/>
    <w:semiHidden/>
    <w:unhideWhenUsed/>
    <w:rsid w:val="00DD2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F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A25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64A3A"/>
    <w:pPr>
      <w:spacing w:after="160" w:line="259" w:lineRule="auto"/>
    </w:pPr>
    <w:rPr>
      <w:rFonts w:ascii="Calibri" w:eastAsia="Calibri" w:hAnsi="Calibri" w:cs="Calibri"/>
    </w:rPr>
  </w:style>
  <w:style w:type="paragraph" w:styleId="ListParagraph">
    <w:name w:val="List Paragraph"/>
    <w:basedOn w:val="Normal"/>
    <w:uiPriority w:val="34"/>
    <w:qFormat/>
    <w:rsid w:val="000D0825"/>
    <w:pPr>
      <w:ind w:left="720"/>
      <w:contextualSpacing/>
    </w:pPr>
  </w:style>
  <w:style w:type="character" w:customStyle="1" w:styleId="Heading1Char">
    <w:name w:val="Heading 1 Char"/>
    <w:basedOn w:val="DefaultParagraphFont"/>
    <w:link w:val="Heading1"/>
    <w:uiPriority w:val="9"/>
    <w:rsid w:val="00FA258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A2586"/>
    <w:rPr>
      <w:color w:val="0000FF" w:themeColor="hyperlink"/>
      <w:u w:val="single"/>
    </w:rPr>
  </w:style>
  <w:style w:type="paragraph" w:styleId="Header">
    <w:name w:val="header"/>
    <w:basedOn w:val="Normal"/>
    <w:link w:val="HeaderChar"/>
    <w:uiPriority w:val="99"/>
    <w:unhideWhenUsed/>
    <w:rsid w:val="00DD2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F62"/>
  </w:style>
  <w:style w:type="paragraph" w:styleId="Footer">
    <w:name w:val="footer"/>
    <w:basedOn w:val="Normal"/>
    <w:link w:val="FooterChar"/>
    <w:uiPriority w:val="99"/>
    <w:unhideWhenUsed/>
    <w:rsid w:val="00DD2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F62"/>
  </w:style>
  <w:style w:type="paragraph" w:styleId="BalloonText">
    <w:name w:val="Balloon Text"/>
    <w:basedOn w:val="Normal"/>
    <w:link w:val="BalloonTextChar"/>
    <w:uiPriority w:val="99"/>
    <w:semiHidden/>
    <w:unhideWhenUsed/>
    <w:rsid w:val="00DD2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F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77351865">
      <w:bodyDiv w:val="1"/>
      <w:marLeft w:val="0"/>
      <w:marRight w:val="0"/>
      <w:marTop w:val="0"/>
      <w:marBottom w:val="0"/>
      <w:divBdr>
        <w:top w:val="none" w:sz="0" w:space="0" w:color="auto"/>
        <w:left w:val="none" w:sz="0" w:space="0" w:color="auto"/>
        <w:bottom w:val="none" w:sz="0" w:space="0" w:color="auto"/>
        <w:right w:val="none" w:sz="0" w:space="0" w:color="auto"/>
      </w:divBdr>
    </w:div>
    <w:div w:id="1778213042">
      <w:bodyDiv w:val="1"/>
      <w:marLeft w:val="0"/>
      <w:marRight w:val="0"/>
      <w:marTop w:val="0"/>
      <w:marBottom w:val="0"/>
      <w:divBdr>
        <w:top w:val="none" w:sz="0" w:space="0" w:color="auto"/>
        <w:left w:val="none" w:sz="0" w:space="0" w:color="auto"/>
        <w:bottom w:val="none" w:sz="0" w:space="0" w:color="auto"/>
        <w:right w:val="none" w:sz="0" w:space="0" w:color="auto"/>
      </w:divBdr>
      <w:divsChild>
        <w:div w:id="1914387423">
          <w:marLeft w:val="0"/>
          <w:marRight w:val="0"/>
          <w:marTop w:val="0"/>
          <w:marBottom w:val="0"/>
          <w:divBdr>
            <w:top w:val="none" w:sz="0" w:space="0" w:color="auto"/>
            <w:left w:val="none" w:sz="0" w:space="0" w:color="auto"/>
            <w:bottom w:val="none" w:sz="0" w:space="0" w:color="auto"/>
            <w:right w:val="none" w:sz="0" w:space="0" w:color="auto"/>
          </w:divBdr>
        </w:div>
      </w:divsChild>
    </w:div>
    <w:div w:id="210417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cyclopedia.lexroll.com/encyclopedia/charter-township-ypsilanti-v-general-motors-corp/"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law.justia.com/cases/federal/district-courts/FSupp/696/1/142187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2020-10-07T04:43:00Z</dcterms:created>
  <dcterms:modified xsi:type="dcterms:W3CDTF">2020-10-07T04:43:00Z</dcterms:modified>
</cp:coreProperties>
</file>